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DBAD4" w14:textId="0CFDF6FB" w:rsidR="009E2AD7" w:rsidRPr="00C21F33" w:rsidRDefault="009E2AD7" w:rsidP="009E2AD7">
      <w:pPr>
        <w:rPr>
          <w:rFonts w:ascii="Arial" w:hAnsi="Arial" w:cs="Arial"/>
        </w:rPr>
      </w:pPr>
      <w:r w:rsidRPr="009E2AD7">
        <w:rPr>
          <w:rFonts w:ascii="Arial" w:hAnsi="Arial" w:cs="Arial"/>
          <w:b/>
          <w:bCs/>
        </w:rPr>
        <w:t xml:space="preserve">Mathieu </w:t>
      </w:r>
      <w:proofErr w:type="spellStart"/>
      <w:r w:rsidRPr="009E2AD7">
        <w:rPr>
          <w:rFonts w:ascii="Arial" w:hAnsi="Arial" w:cs="Arial"/>
          <w:b/>
          <w:bCs/>
        </w:rPr>
        <w:t>Rosenbaum</w:t>
      </w:r>
      <w:proofErr w:type="spellEnd"/>
      <w:r w:rsidRPr="00C21F33">
        <w:rPr>
          <w:rFonts w:ascii="Arial" w:hAnsi="Arial" w:cs="Arial"/>
        </w:rPr>
        <w:t xml:space="preserve"> (Polytechnique, Palaiseau, France)</w:t>
      </w:r>
    </w:p>
    <w:p w14:paraId="5DB554E5" w14:textId="77777777" w:rsidR="009E2AD7" w:rsidRDefault="009E2AD7" w:rsidP="009E2AD7">
      <w:pPr>
        <w:rPr>
          <w:rFonts w:ascii="Arial" w:hAnsi="Arial" w:cs="Arial"/>
          <w:i/>
          <w:iCs/>
          <w:color w:val="222222"/>
          <w:shd w:val="clear" w:color="auto" w:fill="FFFFFF"/>
          <w:lang w:val="en-US"/>
        </w:rPr>
      </w:pPr>
      <w:r w:rsidRPr="00F46C8A">
        <w:rPr>
          <w:rFonts w:ascii="Arial" w:hAnsi="Arial" w:cs="Arial"/>
          <w:i/>
          <w:iCs/>
          <w:color w:val="222222"/>
          <w:shd w:val="clear" w:color="auto" w:fill="FFFFFF"/>
          <w:lang w:val="en-US"/>
        </w:rPr>
        <w:t>The two square root laws of market impact: rough volatility and the role of sophisticated market participants</w:t>
      </w:r>
    </w:p>
    <w:p w14:paraId="7FD6719C" w14:textId="77777777" w:rsidR="009E2AD7" w:rsidRDefault="009E2AD7" w:rsidP="009E2AD7">
      <w:pPr>
        <w:rPr>
          <w:rFonts w:ascii="Arial" w:hAnsi="Arial" w:cs="Arial"/>
          <w:i/>
          <w:iCs/>
          <w:color w:val="222222"/>
          <w:shd w:val="clear" w:color="auto" w:fill="FFFFFF"/>
          <w:lang w:val="en-US"/>
        </w:rPr>
      </w:pPr>
    </w:p>
    <w:p w14:paraId="035AACA6" w14:textId="77777777" w:rsidR="009E2AD7" w:rsidRDefault="009E2AD7" w:rsidP="009E2AD7">
      <w:pPr>
        <w:jc w:val="both"/>
        <w:rPr>
          <w:rFonts w:ascii="Arial" w:hAnsi="Arial" w:cs="Arial"/>
          <w:color w:val="000000"/>
          <w:shd w:val="clear" w:color="auto" w:fill="FFFFFF"/>
          <w:lang w:val="en-US"/>
        </w:rPr>
      </w:pPr>
      <w:r w:rsidRPr="009E2AD7">
        <w:rPr>
          <w:rFonts w:ascii="Arial" w:hAnsi="Arial" w:cs="Arial"/>
          <w:color w:val="000000"/>
          <w:shd w:val="clear" w:color="auto" w:fill="FFFFFF"/>
          <w:lang w:val="en-US"/>
        </w:rPr>
        <w:t xml:space="preserve">The goal of this work is to disentangle the roles of volume and participation rate in the price response of the market to a sequence of orders. To do so, we use an approach where price dynamics are derived from the order flow via no arbitrage constraints. We also introduce in the model sophisticated market participants having superior abilities to </w:t>
      </w:r>
      <w:proofErr w:type="spellStart"/>
      <w:r w:rsidRPr="009E2AD7">
        <w:rPr>
          <w:rFonts w:ascii="Arial" w:hAnsi="Arial" w:cs="Arial"/>
          <w:color w:val="000000"/>
          <w:shd w:val="clear" w:color="auto" w:fill="FFFFFF"/>
          <w:lang w:val="en-US"/>
        </w:rPr>
        <w:t>analyse</w:t>
      </w:r>
      <w:proofErr w:type="spellEnd"/>
      <w:r w:rsidRPr="009E2AD7">
        <w:rPr>
          <w:rFonts w:ascii="Arial" w:hAnsi="Arial" w:cs="Arial"/>
          <w:color w:val="000000"/>
          <w:shd w:val="clear" w:color="auto" w:fill="FFFFFF"/>
          <w:lang w:val="en-US"/>
        </w:rPr>
        <w:t xml:space="preserve"> market dynamics. Our results lead to two square root laws of market impact, with respect to executed volume and with respect to participation rate. We also make connection with the rough </w:t>
      </w:r>
      <w:proofErr w:type="spellStart"/>
      <w:r w:rsidRPr="009E2AD7">
        <w:rPr>
          <w:rFonts w:ascii="Arial" w:hAnsi="Arial" w:cs="Arial"/>
          <w:color w:val="000000"/>
          <w:shd w:val="clear" w:color="auto" w:fill="FFFFFF"/>
          <w:lang w:val="en-US"/>
        </w:rPr>
        <w:t>behaviour</w:t>
      </w:r>
      <w:proofErr w:type="spellEnd"/>
      <w:r w:rsidRPr="009E2AD7">
        <w:rPr>
          <w:rFonts w:ascii="Arial" w:hAnsi="Arial" w:cs="Arial"/>
          <w:color w:val="000000"/>
          <w:shd w:val="clear" w:color="auto" w:fill="FFFFFF"/>
          <w:lang w:val="en-US"/>
        </w:rPr>
        <w:t xml:space="preserve"> of the volatility. </w:t>
      </w:r>
    </w:p>
    <w:p w14:paraId="0DC11E45" w14:textId="15233952" w:rsidR="009E2AD7" w:rsidRPr="009E2AD7" w:rsidRDefault="009E2AD7" w:rsidP="009E2AD7">
      <w:pPr>
        <w:jc w:val="both"/>
        <w:rPr>
          <w:rFonts w:ascii="Arial" w:hAnsi="Arial" w:cs="Arial"/>
          <w:i/>
          <w:iCs/>
          <w:color w:val="222222"/>
          <w:shd w:val="clear" w:color="auto" w:fill="FFFFFF"/>
          <w:lang w:val="en-US"/>
        </w:rPr>
      </w:pPr>
      <w:r w:rsidRPr="009E2AD7">
        <w:rPr>
          <w:rFonts w:ascii="Arial" w:hAnsi="Arial" w:cs="Arial"/>
          <w:color w:val="000000"/>
          <w:shd w:val="clear" w:color="auto" w:fill="FFFFFF"/>
          <w:lang w:val="en-US"/>
        </w:rPr>
        <w:t xml:space="preserve">This is joint work with Bruno </w:t>
      </w:r>
      <w:proofErr w:type="spellStart"/>
      <w:r w:rsidRPr="009E2AD7">
        <w:rPr>
          <w:rFonts w:ascii="Arial" w:hAnsi="Arial" w:cs="Arial"/>
          <w:color w:val="000000"/>
          <w:shd w:val="clear" w:color="auto" w:fill="FFFFFF"/>
          <w:lang w:val="en-US"/>
        </w:rPr>
        <w:t>Durin</w:t>
      </w:r>
      <w:proofErr w:type="spellEnd"/>
      <w:r w:rsidRPr="009E2AD7">
        <w:rPr>
          <w:rFonts w:ascii="Arial" w:hAnsi="Arial" w:cs="Arial"/>
          <w:color w:val="000000"/>
          <w:shd w:val="clear" w:color="auto" w:fill="FFFFFF"/>
          <w:lang w:val="en-US"/>
        </w:rPr>
        <w:t xml:space="preserve"> and Grégoire Szymanski.</w:t>
      </w:r>
    </w:p>
    <w:p w14:paraId="7E26D8F6" w14:textId="77777777" w:rsidR="009E2AD7" w:rsidRPr="009E2AD7" w:rsidRDefault="009E2AD7">
      <w:pPr>
        <w:rPr>
          <w:lang w:val="en-US"/>
        </w:rPr>
      </w:pPr>
    </w:p>
    <w:sectPr w:rsidR="009E2AD7" w:rsidRPr="009E2A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AD7"/>
    <w:rsid w:val="009E2A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BEE82FE"/>
  <w15:chartTrackingRefBased/>
  <w15:docId w15:val="{6F798CDE-FA27-9E4B-980A-1AABF3515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AD7"/>
    <w:rPr>
      <w:rFonts w:ascii="Times New Roman" w:eastAsia="Times New Roman" w:hAnsi="Times New Roman" w:cs="Times New Roman"/>
      <w:kern w:val="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E2AD7"/>
    <w:rPr>
      <w:color w:val="0563C1" w:themeColor="hyperlink"/>
      <w:u w:val="single"/>
    </w:rPr>
  </w:style>
  <w:style w:type="character" w:styleId="Lienhypertextesuivivisit">
    <w:name w:val="FollowedHyperlink"/>
    <w:basedOn w:val="Policepardfaut"/>
    <w:uiPriority w:val="99"/>
    <w:semiHidden/>
    <w:unhideWhenUsed/>
    <w:rsid w:val="009E2A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123</Words>
  <Characters>677</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Doukhan</dc:creator>
  <cp:keywords/>
  <dc:description/>
  <cp:lastModifiedBy>Paul Doukhan</cp:lastModifiedBy>
  <cp:revision>1</cp:revision>
  <dcterms:created xsi:type="dcterms:W3CDTF">2024-01-09T13:12:00Z</dcterms:created>
  <dcterms:modified xsi:type="dcterms:W3CDTF">2024-01-09T13:14:00Z</dcterms:modified>
</cp:coreProperties>
</file>